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00" w:rsidRPr="00EB5272" w:rsidRDefault="00A23E00" w:rsidP="009045CC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38B2" w:rsidRPr="00EB5272" w:rsidRDefault="00873D54" w:rsidP="009045CC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Informatii despre </w:t>
      </w:r>
      <w:r w:rsidR="00B838B2" w:rsidRPr="00EB5272">
        <w:rPr>
          <w:rFonts w:ascii="Times New Roman" w:hAnsi="Times New Roman" w:cs="Times New Roman"/>
          <w:b/>
          <w:sz w:val="24"/>
          <w:szCs w:val="24"/>
          <w:lang w:val="ro-RO"/>
        </w:rPr>
        <w:t>pietele de gaze naturale administrate de catre BRM</w:t>
      </w:r>
    </w:p>
    <w:p w:rsidR="00B838B2" w:rsidRPr="00EB5272" w:rsidRDefault="00B838B2" w:rsidP="009045CC">
      <w:pPr>
        <w:spacing w:line="280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838B2" w:rsidRPr="00EB5272" w:rsidRDefault="00B838B2" w:rsidP="009045CC">
      <w:pPr>
        <w:pStyle w:val="Listparagraf"/>
        <w:numPr>
          <w:ilvl w:val="0"/>
          <w:numId w:val="3"/>
        </w:numPr>
        <w:spacing w:line="280" w:lineRule="exact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Piete centralizate conform </w:t>
      </w:r>
      <w:r w:rsidR="005C0E3A" w:rsidRPr="00EB52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Ordinului ANRE nr. 105/2018 </w:t>
      </w:r>
    </w:p>
    <w:p w:rsidR="00873D54" w:rsidRPr="00EB5272" w:rsidRDefault="00873D54" w:rsidP="009045CC">
      <w:pPr>
        <w:spacing w:line="280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00B5A" w:rsidRPr="00EB5272" w:rsidRDefault="00E00B5A" w:rsidP="009045CC">
      <w:pPr>
        <w:spacing w:line="280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b/>
          <w:sz w:val="24"/>
          <w:szCs w:val="24"/>
          <w:lang w:val="ro-RO"/>
        </w:rPr>
        <w:t>Platforma</w:t>
      </w:r>
      <w:r w:rsidR="003D6B61" w:rsidRPr="00EB52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Gas</w:t>
      </w:r>
      <w:r w:rsidRPr="00EB52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EB5272">
        <w:rPr>
          <w:rFonts w:ascii="Times New Roman" w:hAnsi="Times New Roman" w:cs="Times New Roman"/>
          <w:b/>
          <w:sz w:val="24"/>
          <w:szCs w:val="24"/>
          <w:lang w:val="ro-RO"/>
        </w:rPr>
        <w:t>Forward</w:t>
      </w:r>
      <w:proofErr w:type="spellEnd"/>
    </w:p>
    <w:p w:rsidR="00D60D29" w:rsidRPr="00EB5272" w:rsidRDefault="00D60D29" w:rsidP="00D60D29">
      <w:pPr>
        <w:spacing w:line="280" w:lineRule="exact"/>
        <w:rPr>
          <w:rStyle w:val="Hyperlink"/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Se poate accesa la adresa web: </w:t>
      </w:r>
      <w:hyperlink r:id="rId7" w:history="1">
        <w:r w:rsidRPr="00EB527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http://gasforward.brm.ro</w:t>
        </w:r>
      </w:hyperlink>
      <w:r w:rsidRPr="00EB5272">
        <w:rPr>
          <w:rStyle w:val="Hyperlink"/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EB5272" w:rsidRPr="00EB5272" w:rsidRDefault="00E00B5A" w:rsidP="003D6B61">
      <w:p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Pe Platforma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Forward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se pot efectua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tranzactii</w:t>
      </w:r>
      <w:proofErr w:type="spellEnd"/>
      <w:r w:rsidR="003D6B61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D6B61" w:rsidRPr="00EB5272">
        <w:rPr>
          <w:rFonts w:ascii="Times New Roman" w:hAnsi="Times New Roman" w:cs="Times New Roman"/>
          <w:sz w:val="24"/>
          <w:szCs w:val="24"/>
          <w:lang w:val="ro-RO"/>
        </w:rPr>
        <w:t>oricand</w:t>
      </w:r>
      <w:proofErr w:type="spellEnd"/>
      <w:r w:rsidR="003D6B61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pentru produse standard pe termen mediu si lung</w:t>
      </w:r>
      <w:r w:rsidR="00463E32" w:rsidRPr="00EB527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63E32" w:rsidRPr="00EB5272">
        <w:rPr>
          <w:rFonts w:ascii="Times New Roman" w:hAnsi="Times New Roman" w:cs="Times New Roman"/>
          <w:sz w:val="24"/>
          <w:szCs w:val="24"/>
          <w:lang w:val="ro-RO"/>
        </w:rPr>
        <w:t>tranzactionarea realizandu-se prin procedura de tranzactionare dublu competitiva si folosind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1873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contractul standard </w:t>
      </w:r>
      <w:r w:rsidR="00EB5272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BRM </w:t>
      </w:r>
      <w:r w:rsidR="00E91873" w:rsidRPr="00EB5272">
        <w:rPr>
          <w:rFonts w:ascii="Times New Roman" w:hAnsi="Times New Roman" w:cs="Times New Roman"/>
          <w:sz w:val="24"/>
          <w:szCs w:val="24"/>
          <w:lang w:val="ro-RO"/>
        </w:rPr>
        <w:t>avizat de ANRE, anexa la Procedura de tranzactionare pe piata produselor standard pe termen mediu si lung.</w:t>
      </w:r>
      <w:r w:rsidR="003D6B61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3D6B61" w:rsidRPr="00EB5272" w:rsidRDefault="003D6B61" w:rsidP="003D6B61">
      <w:p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Pe aceasta platforma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Participantii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pot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adauga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ordine de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Cumparare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sau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Vanzare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oricand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dupa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listarea produsului la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tranzactionare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si pot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incheia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contracte cu termen de livrare cuprins intre o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saptamana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si un an.</w:t>
      </w:r>
    </w:p>
    <w:p w:rsidR="003D6B61" w:rsidRPr="00EB5272" w:rsidRDefault="003D6B61" w:rsidP="003D6B61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Pe Platforma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Forward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se pot efectua si 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tranzactii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pentru produse standard pe termen mediu si lung,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tranzactionarea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realizandu-se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prin procedura de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tranzactionare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simplu competitiva si folosind contractul propus de Participant,</w:t>
      </w:r>
      <w:r w:rsidRPr="00EB5272">
        <w:rPr>
          <w:rFonts w:ascii="Times New Roman" w:hAnsi="Times New Roman" w:cs="Times New Roman"/>
          <w:sz w:val="24"/>
          <w:szCs w:val="24"/>
        </w:rPr>
        <w:t xml:space="preserve"> 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contracte standard tip EFET sau contractelor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preagreate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intre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Participanti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D6B61" w:rsidRPr="00EB5272" w:rsidRDefault="003D6B61" w:rsidP="003D6B61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Pentru contractele propuse de Participant,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sedintele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tranzactionare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organizeaza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in termen de minimum 3 zile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lucratoare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de la data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publicarii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contractului.</w:t>
      </w:r>
    </w:p>
    <w:p w:rsidR="00E00B5A" w:rsidRPr="00EB5272" w:rsidRDefault="0058377C" w:rsidP="009045CC">
      <w:p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Comisionul de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tranzactionare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este calculat pe baza grilei de comisioane afisat pe siteul BRM.</w:t>
      </w:r>
    </w:p>
    <w:p w:rsidR="00971F78" w:rsidRPr="00EB5272" w:rsidRDefault="00971F78" w:rsidP="009045CC">
      <w:pPr>
        <w:spacing w:line="280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F78EE" w:rsidRPr="00EB5272" w:rsidRDefault="00DF78EE" w:rsidP="009045CC">
      <w:pPr>
        <w:spacing w:line="280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b/>
          <w:sz w:val="24"/>
          <w:szCs w:val="24"/>
          <w:lang w:val="ro-RO"/>
        </w:rPr>
        <w:t>Platforma</w:t>
      </w:r>
      <w:r w:rsidR="00AA127E" w:rsidRPr="00EB52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SPOT</w:t>
      </w:r>
    </w:p>
    <w:p w:rsidR="00335650" w:rsidRPr="00EB5272" w:rsidRDefault="00873D54" w:rsidP="009045CC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AA127E" w:rsidRPr="00EB5272">
        <w:rPr>
          <w:rFonts w:ascii="Times New Roman" w:hAnsi="Times New Roman" w:cs="Times New Roman"/>
          <w:sz w:val="24"/>
          <w:szCs w:val="24"/>
          <w:lang w:val="ro-RO"/>
        </w:rPr>
        <w:t>latforma S</w:t>
      </w:r>
      <w:r w:rsidR="00D84552" w:rsidRPr="00EB5272">
        <w:rPr>
          <w:rFonts w:ascii="Times New Roman" w:hAnsi="Times New Roman" w:cs="Times New Roman"/>
          <w:sz w:val="24"/>
          <w:szCs w:val="24"/>
          <w:lang w:val="ro-RO"/>
        </w:rPr>
        <w:t>POT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se poate accesa la adresa web: </w:t>
      </w:r>
      <w:hyperlink r:id="rId8" w:history="1">
        <w:r w:rsidR="008B481B" w:rsidRPr="00EB527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http://dayaheadgas.brm.ro</w:t>
        </w:r>
      </w:hyperlink>
      <w:r w:rsidR="008B481B" w:rsidRPr="00E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78" w:rsidRPr="00EB5272" w:rsidRDefault="00D86374" w:rsidP="009045CC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73D54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Pe aceasta 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873D54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latforma se pot </w:t>
      </w:r>
      <w:proofErr w:type="spellStart"/>
      <w:r w:rsidR="00873D54" w:rsidRPr="00EB5272">
        <w:rPr>
          <w:rFonts w:ascii="Times New Roman" w:hAnsi="Times New Roman" w:cs="Times New Roman"/>
          <w:sz w:val="24"/>
          <w:szCs w:val="24"/>
          <w:lang w:val="ro-RO"/>
        </w:rPr>
        <w:t>tranzactiona</w:t>
      </w:r>
      <w:proofErr w:type="spellEnd"/>
      <w:r w:rsidR="00873D54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produse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standard</w:t>
      </w:r>
      <w:r w:rsidR="00873D54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pe termen 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>scurt,</w:t>
      </w:r>
      <w:r w:rsidR="00172CDA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cu livrare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71F78" w:rsidRPr="00EB5272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>ay</w:t>
      </w:r>
      <w:r w:rsidR="00971F78" w:rsidRPr="00EB5272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>ahead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(pentru ziua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urmatoare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) si </w:t>
      </w:r>
      <w:proofErr w:type="spellStart"/>
      <w:r w:rsidR="00971F78" w:rsidRPr="00EB5272">
        <w:rPr>
          <w:rFonts w:ascii="Times New Roman" w:hAnsi="Times New Roman" w:cs="Times New Roman"/>
          <w:sz w:val="24"/>
          <w:szCs w:val="24"/>
          <w:lang w:val="ro-RO"/>
        </w:rPr>
        <w:t>w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>it</w:t>
      </w:r>
      <w:r w:rsidR="00102CD1" w:rsidRPr="00EB5272">
        <w:rPr>
          <w:rFonts w:ascii="Times New Roman" w:hAnsi="Times New Roman" w:cs="Times New Roman"/>
          <w:sz w:val="24"/>
          <w:szCs w:val="24"/>
          <w:lang w:val="ro-RO"/>
        </w:rPr>
        <w:t>hinday</w:t>
      </w:r>
      <w:proofErr w:type="spellEnd"/>
      <w:r w:rsidR="00102CD1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(pentru ziua respectiva) conform Procedurii de organizare si </w:t>
      </w:r>
      <w:proofErr w:type="spellStart"/>
      <w:r w:rsidR="00102CD1" w:rsidRPr="00EB5272">
        <w:rPr>
          <w:rFonts w:ascii="Times New Roman" w:hAnsi="Times New Roman" w:cs="Times New Roman"/>
          <w:sz w:val="24"/>
          <w:szCs w:val="24"/>
          <w:lang w:val="ro-RO"/>
        </w:rPr>
        <w:t>functionare</w:t>
      </w:r>
      <w:proofErr w:type="spellEnd"/>
      <w:r w:rsidR="00102CD1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="00102CD1" w:rsidRPr="00EB5272">
        <w:rPr>
          <w:rFonts w:ascii="Times New Roman" w:hAnsi="Times New Roman" w:cs="Times New Roman"/>
          <w:sz w:val="24"/>
          <w:szCs w:val="24"/>
          <w:lang w:val="ro-RO"/>
        </w:rPr>
        <w:t>pietei</w:t>
      </w:r>
      <w:proofErr w:type="spellEnd"/>
      <w:r w:rsidR="00102CD1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produselor standardizate pe termen scurt administrata de societatea  Bursa Romana de Marfuri SA.</w:t>
      </w:r>
      <w:r w:rsidR="0058377C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F80150" w:rsidRPr="00EB5272" w:rsidRDefault="00F80150" w:rsidP="009045CC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Pe aceasta piata se tranzactioneaza </w:t>
      </w:r>
      <w:r w:rsidR="00172CDA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un contract standard sau un multiplu de contracte standard, iar elementele care pot fi modificate de catre partile interesate in cadrul sedintelor de </w:t>
      </w:r>
      <w:r w:rsidR="00172CDA" w:rsidRPr="00EB5272">
        <w:rPr>
          <w:rFonts w:ascii="Times New Roman" w:hAnsi="Times New Roman" w:cs="Times New Roman"/>
          <w:sz w:val="24"/>
          <w:szCs w:val="24"/>
          <w:lang w:val="ro-RO"/>
        </w:rPr>
        <w:lastRenderedPageBreak/>
        <w:t>tranzactionare sunt doar pretul per contract standard si numărul de contracte standard tranzactionate.</w:t>
      </w:r>
    </w:p>
    <w:p w:rsidR="00873D54" w:rsidRPr="00EB5272" w:rsidRDefault="0058377C" w:rsidP="009045CC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>Comisionul de tranzactionare este de 4,5 bani per MW</w:t>
      </w:r>
      <w:r w:rsidR="002C4957">
        <w:rPr>
          <w:rFonts w:ascii="Times New Roman" w:hAnsi="Times New Roman" w:cs="Times New Roman"/>
          <w:sz w:val="24"/>
          <w:szCs w:val="24"/>
          <w:lang w:val="ro-RO"/>
        </w:rPr>
        <w:t>h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87398" w:rsidRPr="00EB5272" w:rsidRDefault="00F87398" w:rsidP="009045CC">
      <w:pPr>
        <w:pStyle w:val="Listparagraf"/>
        <w:numPr>
          <w:ilvl w:val="0"/>
          <w:numId w:val="3"/>
        </w:numPr>
        <w:spacing w:line="280" w:lineRule="exact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proofErr w:type="spellStart"/>
      <w:r w:rsidRPr="00EB52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latforme</w:t>
      </w:r>
      <w:proofErr w:type="spellEnd"/>
      <w:r w:rsidRPr="00EB52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52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EB52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52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produse</w:t>
      </w:r>
      <w:proofErr w:type="spellEnd"/>
      <w:r w:rsidRPr="00EB52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52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nestandardizate</w:t>
      </w:r>
      <w:proofErr w:type="spellEnd"/>
    </w:p>
    <w:p w:rsidR="00E33F6B" w:rsidRPr="00EB5272" w:rsidRDefault="00513615" w:rsidP="009045CC">
      <w:pPr>
        <w:spacing w:line="280" w:lineRule="exac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b/>
          <w:sz w:val="24"/>
          <w:szCs w:val="24"/>
          <w:lang w:val="ro-RO"/>
        </w:rPr>
        <w:t>Platforma STEG</w:t>
      </w:r>
      <w:r w:rsidR="00DF78EE" w:rsidRPr="00EB5272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</w:p>
    <w:p w:rsidR="00DF78EE" w:rsidRPr="00EB5272" w:rsidRDefault="00DF78EE" w:rsidP="009045CC">
      <w:p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513615" w:rsidRPr="00EB5272">
        <w:rPr>
          <w:rFonts w:ascii="Times New Roman" w:hAnsi="Times New Roman" w:cs="Times New Roman"/>
          <w:sz w:val="24"/>
          <w:szCs w:val="24"/>
          <w:lang w:val="ro-RO"/>
        </w:rPr>
        <w:t>latforma STEG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>N este</w:t>
      </w:r>
      <w:r w:rsidR="00F87398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o platforma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de tip OTC si se poate accesa la adresa: </w:t>
      </w:r>
      <w:r w:rsidR="00513615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9" w:history="1">
        <w:r w:rsidR="00513615" w:rsidRPr="00EB527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https://brmgn.ro/</w:t>
        </w:r>
      </w:hyperlink>
      <w:r w:rsidR="00513615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F78EE" w:rsidRPr="00EB5272" w:rsidRDefault="00DF78EE" w:rsidP="009045CC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513615" w:rsidRPr="00EB527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aceasta platforma</w:t>
      </w:r>
      <w:r w:rsidR="00513615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pot face tranzactii 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cu livrare </w:t>
      </w:r>
      <w:r w:rsidR="00513615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pentru orice perioada, de la o zi </w:t>
      </w:r>
      <w:r w:rsidR="00F7784C" w:rsidRPr="00EB5272">
        <w:rPr>
          <w:rFonts w:ascii="Times New Roman" w:hAnsi="Times New Roman" w:cs="Times New Roman"/>
          <w:sz w:val="24"/>
          <w:szCs w:val="24"/>
          <w:lang w:val="ro-RO"/>
        </w:rPr>
        <w:t>(mai putin cu livrare day-ahead (pentru ziua urmatoare) si withinday (pentru ziua respectiva))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13615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la perioade medii si lungi, </w:t>
      </w:r>
      <w:r w:rsidR="00F7784C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513615" w:rsidRPr="00EB5272">
        <w:rPr>
          <w:rFonts w:ascii="Times New Roman" w:hAnsi="Times New Roman" w:cs="Times New Roman"/>
          <w:sz w:val="24"/>
          <w:szCs w:val="24"/>
          <w:lang w:val="ro-RO"/>
        </w:rPr>
        <w:t>peste 1 an.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Pe aceasta platforma nu se solicita garantii</w:t>
      </w:r>
      <w:r w:rsidR="00F7784C" w:rsidRPr="00EB527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dar tranzactiile se efectueaza doar intre </w:t>
      </w:r>
      <w:r w:rsidR="00F7784C" w:rsidRPr="00EB527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articipantii preagreati. </w:t>
      </w:r>
    </w:p>
    <w:p w:rsidR="00513615" w:rsidRPr="00EB5272" w:rsidRDefault="00513615" w:rsidP="009045CC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Contractele </w:t>
      </w:r>
      <w:r w:rsidR="00DF78EE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rezultate in urma tranzactiilor 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F7784C" w:rsidRPr="00EB5272">
        <w:rPr>
          <w:rFonts w:ascii="Times New Roman" w:hAnsi="Times New Roman" w:cs="Times New Roman"/>
          <w:sz w:val="24"/>
          <w:szCs w:val="24"/>
          <w:lang w:val="ro-RO"/>
        </w:rPr>
        <w:t>incheie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pe baza contractelor propuse de vanzator</w:t>
      </w:r>
      <w:r w:rsidR="00DF78EE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sau de tip EFET preagreate de participanti, 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iar daca participantii la tranzactie nu convin asupra contractului semnat se va semna contractul standard BRM.</w:t>
      </w:r>
      <w:r w:rsidR="00102CD1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8377C" w:rsidRPr="00EB5272" w:rsidRDefault="0058377C" w:rsidP="009045CC">
      <w:p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>Comisionul de tranzactionare este calculat pe baza grilei de comisioane afisat pe siteul BRM.</w:t>
      </w:r>
    </w:p>
    <w:p w:rsidR="0058377C" w:rsidRPr="00EB5272" w:rsidRDefault="00DF78EE" w:rsidP="009045CC">
      <w:pPr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Tranzactiile efectuate pe platforma STEGN </w:t>
      </w:r>
      <w:r w:rsidRPr="00EB527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nu </w:t>
      </w:r>
      <w:r w:rsidR="00527932" w:rsidRPr="00EB527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sunt luate in calcul de ANRE pentru indeplinirea obligatiilor de tranzactionare obligatorie pe pietele centralizate.</w:t>
      </w:r>
    </w:p>
    <w:p w:rsidR="00EB5272" w:rsidRDefault="00EB5272" w:rsidP="00EB5272">
      <w:pPr>
        <w:pStyle w:val="Listparagraf"/>
        <w:spacing w:line="280" w:lineRule="exact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8377C" w:rsidRPr="00EB5272" w:rsidRDefault="0058377C" w:rsidP="009045CC">
      <w:pPr>
        <w:pStyle w:val="Listparagraf"/>
        <w:numPr>
          <w:ilvl w:val="0"/>
          <w:numId w:val="3"/>
        </w:numPr>
        <w:spacing w:line="280" w:lineRule="exact"/>
        <w:contextualSpacing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Piata de Echilibrare </w:t>
      </w:r>
    </w:p>
    <w:p w:rsidR="006C4C9E" w:rsidRPr="00EB5272" w:rsidRDefault="00306B28" w:rsidP="009045CC">
      <w:p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BRM detine rolul de </w:t>
      </w:r>
      <w:r w:rsidR="002522F2" w:rsidRPr="00EB5272">
        <w:rPr>
          <w:rFonts w:ascii="Times New Roman" w:hAnsi="Times New Roman" w:cs="Times New Roman"/>
          <w:sz w:val="24"/>
          <w:szCs w:val="24"/>
          <w:lang w:val="ro-RO"/>
        </w:rPr>
        <w:t>terta parte care organizeaza si administrează piata de echilibrare a gazelor naturale in colaborare cu SNTGN Transgaz SA.</w:t>
      </w:r>
      <w:r w:rsidR="00E907A7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D74A8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Piata de Echilibrare se poate accesa la adresa web: </w:t>
      </w:r>
      <w:hyperlink r:id="rId10" w:history="1">
        <w:r w:rsidR="0058377C" w:rsidRPr="00EB527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http://echilibrare.brm.ro/</w:t>
        </w:r>
      </w:hyperlink>
      <w:r w:rsidR="002D74A8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E907A7" w:rsidRDefault="002D74A8" w:rsidP="009045CC">
      <w:p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>Pe aceasta platforma se pot tranzactiona</w:t>
      </w:r>
      <w:r w:rsidR="00914CDB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in ziua D gaze naturale in limita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14CDB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dezechilibrului zilnic comunicat de catre OTS pentru ziua </w:t>
      </w:r>
      <w:proofErr w:type="spellStart"/>
      <w:r w:rsidR="00914CDB" w:rsidRPr="00EB5272">
        <w:rPr>
          <w:rFonts w:ascii="Times New Roman" w:hAnsi="Times New Roman" w:cs="Times New Roman"/>
          <w:sz w:val="24"/>
          <w:szCs w:val="24"/>
          <w:lang w:val="ro-RO"/>
        </w:rPr>
        <w:t>gazieră</w:t>
      </w:r>
      <w:proofErr w:type="spellEnd"/>
      <w:r w:rsidR="00914CDB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D-</w:t>
      </w:r>
      <w:r w:rsidR="00901615">
        <w:rPr>
          <w:rFonts w:ascii="Times New Roman" w:hAnsi="Times New Roman" w:cs="Times New Roman"/>
          <w:sz w:val="24"/>
          <w:szCs w:val="24"/>
          <w:lang w:val="ro-RO"/>
        </w:rPr>
        <w:t>2 cat si pentru D si D+1 pentru tipurile CC (</w:t>
      </w:r>
      <w:proofErr w:type="spellStart"/>
      <w:r w:rsidR="00901615">
        <w:rPr>
          <w:rFonts w:ascii="Times New Roman" w:hAnsi="Times New Roman" w:cs="Times New Roman"/>
          <w:sz w:val="24"/>
          <w:szCs w:val="24"/>
          <w:lang w:val="ro-RO"/>
        </w:rPr>
        <w:t>clienti</w:t>
      </w:r>
      <w:proofErr w:type="spellEnd"/>
      <w:r w:rsidR="00901615">
        <w:rPr>
          <w:rFonts w:ascii="Times New Roman" w:hAnsi="Times New Roman" w:cs="Times New Roman"/>
          <w:sz w:val="24"/>
          <w:szCs w:val="24"/>
          <w:lang w:val="ro-RO"/>
        </w:rPr>
        <w:t xml:space="preserve"> casnici) si PET.</w:t>
      </w:r>
      <w:r w:rsidR="00E907A7"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C4957" w:rsidRDefault="002C4957" w:rsidP="002C4957">
      <w:p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Comisionul de </w:t>
      </w:r>
      <w:proofErr w:type="spellStart"/>
      <w:r w:rsidRPr="00EB5272">
        <w:rPr>
          <w:rFonts w:ascii="Times New Roman" w:hAnsi="Times New Roman" w:cs="Times New Roman"/>
          <w:sz w:val="24"/>
          <w:szCs w:val="24"/>
          <w:lang w:val="ro-RO"/>
        </w:rPr>
        <w:t>tranzactionare</w:t>
      </w:r>
      <w:proofErr w:type="spellEnd"/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este de </w:t>
      </w:r>
      <w:r>
        <w:rPr>
          <w:rFonts w:ascii="Times New Roman" w:hAnsi="Times New Roman" w:cs="Times New Roman"/>
          <w:sz w:val="24"/>
          <w:szCs w:val="24"/>
          <w:lang w:val="ro-RO"/>
        </w:rPr>
        <w:t>0,0352 lei/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 xml:space="preserve"> MW</w:t>
      </w:r>
      <w:r>
        <w:rPr>
          <w:rFonts w:ascii="Times New Roman" w:hAnsi="Times New Roman" w:cs="Times New Roman"/>
          <w:sz w:val="24"/>
          <w:szCs w:val="24"/>
          <w:lang w:val="ro-RO"/>
        </w:rPr>
        <w:t>h si este perceput de Transgaz, BRM nu percepe comisioane pe aceasta Piata</w:t>
      </w:r>
      <w:r w:rsidRPr="00EB527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C4957" w:rsidRDefault="002C4957" w:rsidP="002C4957">
      <w:p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Sumele sunt debitate in D+1 pentru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tranzactiile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efectuate in D prin mecanismul de Direct Debit,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Participantii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trebuie sa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aiba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mandat de DD activ la banca lui agreata de BCR. Facturile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cumparatori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sunt emise lunar de BRM in calitate de Contraparte iar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vanzatorii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vor factura lunar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BRM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cantitatile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vandute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pe aceasta Piata.</w:t>
      </w:r>
    </w:p>
    <w:p w:rsidR="00EB5272" w:rsidRDefault="00EB5272" w:rsidP="009045CC">
      <w:pPr>
        <w:spacing w:line="28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B5272" w:rsidSect="002E16C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0E" w:rsidRDefault="00A61F0E" w:rsidP="00A23E00">
      <w:pPr>
        <w:spacing w:after="0" w:line="240" w:lineRule="auto"/>
      </w:pPr>
      <w:r>
        <w:separator/>
      </w:r>
    </w:p>
  </w:endnote>
  <w:endnote w:type="continuationSeparator" w:id="0">
    <w:p w:rsidR="00A61F0E" w:rsidRDefault="00A61F0E" w:rsidP="00A2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00" w:rsidRPr="00A23E00" w:rsidRDefault="002C1317" w:rsidP="00A23E00">
    <w:pPr>
      <w:tabs>
        <w:tab w:val="left" w:pos="2475"/>
        <w:tab w:val="left" w:pos="2703"/>
        <w:tab w:val="center" w:pos="4536"/>
        <w:tab w:val="left" w:pos="4905"/>
        <w:tab w:val="left" w:pos="5550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val="ro-RO" w:eastAsia="ro-RO"/>
      </w:rPr>
    </w:pPr>
    <w:r w:rsidRPr="002C1317">
      <w:rPr>
        <w:noProof/>
      </w:rPr>
      <w:pict>
        <v:line id="Line 14" o:spid="_x0000_s2049" style="position:absolute;z-index:-251655168;visibility:visible;mso-position-vertical-relative:page" from="-30.05pt,722.1pt" to="512.95pt,7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bG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" strokeweight=".5pt">
          <w10:wrap anchory="page"/>
        </v:line>
      </w:pict>
    </w:r>
    <w:r w:rsidRPr="002C13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50" type="#_x0000_t202" style="position:absolute;margin-left:89.9pt;margin-top:722.1pt;width:297.7pt;height:88.4pt;z-index:-25165414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" stroked="f">
          <v:textbox inset="0,0,0,0">
            <w:txbxContent>
              <w:p w:rsidR="00A23E00" w:rsidRPr="00811F76" w:rsidRDefault="00A23E00" w:rsidP="00A23E00">
                <w:pP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</w:pPr>
                <w: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 xml:space="preserve">                                   </w:t>
                </w:r>
                <w:r w:rsidRPr="00811F76"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>Bursa Română de Mărfuri</w:t>
                </w:r>
              </w:p>
              <w:p w:rsidR="00A23E00" w:rsidRPr="007D3F7A" w:rsidRDefault="00A23E00" w:rsidP="00A23E00">
                <w:pP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</w:pPr>
                <w: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 xml:space="preserve">   </w:t>
                </w:r>
                <w:r w:rsidRPr="00811F76"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 xml:space="preserve">CIF: RO1562694 • J40/19450/1992 • Capital social: </w:t>
                </w:r>
                <w: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>8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.</w:t>
                </w:r>
                <w:r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000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.</w:t>
                </w:r>
                <w:r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00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0 lei</w:t>
                </w:r>
              </w:p>
              <w:p w:rsidR="00A23E00" w:rsidRPr="00DB79FE" w:rsidRDefault="00A23E00" w:rsidP="00A23E00">
                <w:pPr>
                  <w:rPr>
                    <w:lang w:val="fr-FR"/>
                  </w:rPr>
                </w:pPr>
                <w:r w:rsidRPr="00DB79FE">
                  <w:rPr>
                    <w:rStyle w:val="Robust"/>
                    <w:rFonts w:ascii="Bookman Old Style" w:hAnsi="Bookman Old Style"/>
                    <w:iCs/>
                    <w:sz w:val="16"/>
                    <w:szCs w:val="16"/>
                    <w:lang w:val="fr-FR"/>
                  </w:rPr>
                  <w:t xml:space="preserve">BCR SUC.UNIREA - CONT GARANTII </w:t>
                </w:r>
                <w:r>
                  <w:rPr>
                    <w:rFonts w:ascii="Bookman Old Style" w:hAnsi="Bookman Old Style"/>
                    <w:sz w:val="16"/>
                    <w:szCs w:val="16"/>
                    <w:lang w:val="fr-FR"/>
                  </w:rPr>
                  <w:t>RO50</w:t>
                </w:r>
                <w:r w:rsidRPr="00DB79FE">
                  <w:rPr>
                    <w:rFonts w:ascii="Bookman Old Style" w:hAnsi="Bookman Old Style"/>
                    <w:sz w:val="16"/>
                    <w:szCs w:val="16"/>
                    <w:lang w:val="fr-FR"/>
                  </w:rPr>
                  <w:t xml:space="preserve"> RNCB 0082 0009 9180 0</w:t>
                </w:r>
                <w:r>
                  <w:rPr>
                    <w:rFonts w:ascii="Bookman Old Style" w:hAnsi="Bookman Old Style"/>
                    <w:sz w:val="16"/>
                    <w:szCs w:val="16"/>
                    <w:lang w:val="fr-FR"/>
                  </w:rPr>
                  <w:t>641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0E" w:rsidRDefault="00A61F0E" w:rsidP="00A23E00">
      <w:pPr>
        <w:spacing w:after="0" w:line="240" w:lineRule="auto"/>
      </w:pPr>
      <w:r>
        <w:separator/>
      </w:r>
    </w:p>
  </w:footnote>
  <w:footnote w:type="continuationSeparator" w:id="0">
    <w:p w:rsidR="00A61F0E" w:rsidRDefault="00A61F0E" w:rsidP="00A2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00" w:rsidRPr="00A23E00" w:rsidRDefault="00A23E00" w:rsidP="00A23E00">
    <w:pPr>
      <w:framePr w:w="7452" w:h="1805" w:hSpace="181" w:wrap="notBeside" w:vAnchor="page" w:hAnchor="page" w:x="3501" w:y="721" w:anchorLock="1"/>
      <w:spacing w:after="0" w:line="240" w:lineRule="auto"/>
      <w:jc w:val="center"/>
      <w:rPr>
        <w:rFonts w:ascii="Bookman Old Style" w:eastAsia="Times New Roman" w:hAnsi="Bookman Old Style" w:cs="Times New Roman"/>
        <w:b/>
        <w:noProof/>
        <w:sz w:val="40"/>
        <w:szCs w:val="20"/>
        <w:lang w:val="ro-RO"/>
      </w:rPr>
    </w:pPr>
    <w:r w:rsidRPr="00A23E00">
      <w:rPr>
        <w:rFonts w:ascii="Bookman Old Style" w:eastAsia="Times New Roman" w:hAnsi="Bookman Old Style" w:cs="Times New Roman"/>
        <w:b/>
        <w:noProof/>
        <w:sz w:val="40"/>
        <w:szCs w:val="20"/>
        <w:lang w:val="ro-RO"/>
      </w:rPr>
      <w:t>Bursa Română de Mărfuri  S.A.</w:t>
    </w:r>
  </w:p>
  <w:p w:rsidR="00A23E00" w:rsidRPr="00A23E00" w:rsidRDefault="00A23E00" w:rsidP="00A23E00">
    <w:pPr>
      <w:keepNext/>
      <w:framePr w:w="7452" w:h="1805" w:hSpace="181" w:wrap="notBeside" w:vAnchor="page" w:hAnchor="page" w:x="3501" w:y="721" w:anchorLock="1"/>
      <w:spacing w:after="0" w:line="240" w:lineRule="auto"/>
      <w:jc w:val="center"/>
      <w:outlineLvl w:val="0"/>
      <w:rPr>
        <w:rFonts w:ascii="Bookman Old Style" w:eastAsia="Times New Roman" w:hAnsi="Bookman Old Style" w:cs="Times New Roman"/>
        <w:b/>
        <w:noProof/>
        <w:spacing w:val="-20"/>
        <w:sz w:val="36"/>
        <w:szCs w:val="20"/>
        <w:lang w:val="ro-RO"/>
      </w:rPr>
    </w:pPr>
    <w:r w:rsidRPr="00A23E00">
      <w:rPr>
        <w:rFonts w:ascii="Bookman Old Style" w:eastAsia="Times New Roman" w:hAnsi="Bookman Old Style" w:cs="Times New Roman"/>
        <w:b/>
        <w:noProof/>
        <w:spacing w:val="-20"/>
        <w:sz w:val="40"/>
        <w:szCs w:val="20"/>
        <w:lang w:val="ro-RO"/>
      </w:rPr>
      <w:t>Romanian Commodities Exchange</w:t>
    </w:r>
  </w:p>
  <w:p w:rsidR="00A23E00" w:rsidRPr="00A23E00" w:rsidRDefault="00A23E00" w:rsidP="00A23E00">
    <w:pPr>
      <w:framePr w:w="7452" w:h="1805" w:hSpace="181" w:wrap="notBeside" w:vAnchor="page" w:hAnchor="page" w:x="3501" w:y="721" w:anchorLock="1"/>
      <w:spacing w:after="0" w:line="240" w:lineRule="auto"/>
      <w:jc w:val="center"/>
      <w:rPr>
        <w:rFonts w:ascii="Bookman Old Style" w:eastAsia="Times New Roman" w:hAnsi="Bookman Old Style" w:cs="Times New Roman"/>
        <w:b/>
        <w:noProof/>
        <w:szCs w:val="20"/>
        <w:lang w:val="ro-RO"/>
      </w:rPr>
    </w:pPr>
    <w:r w:rsidRPr="00A23E00">
      <w:rPr>
        <w:rFonts w:ascii="Bookman Old Style" w:eastAsia="Times New Roman" w:hAnsi="Bookman Old Style" w:cs="Times New Roman"/>
        <w:b/>
        <w:noProof/>
        <w:szCs w:val="20"/>
        <w:lang w:val="ro-RO"/>
      </w:rPr>
      <w:t>Strada Buzeşti 50-52</w:t>
    </w:r>
    <w:r w:rsidRPr="00A23E00">
      <w:rPr>
        <w:rFonts w:ascii="Wingdings" w:eastAsia="Times New Roman" w:hAnsi="Wingdings" w:cs="Times New Roman"/>
        <w:b/>
        <w:noProof/>
        <w:sz w:val="10"/>
        <w:szCs w:val="20"/>
        <w:lang w:val="ro-RO"/>
      </w:rPr>
      <w:t></w:t>
    </w:r>
    <w:r w:rsidRPr="00A23E00">
      <w:rPr>
        <w:rFonts w:ascii="Bookman Old Style" w:eastAsia="Times New Roman" w:hAnsi="Bookman Old Style" w:cs="Times New Roman"/>
        <w:b/>
        <w:noProof/>
        <w:szCs w:val="20"/>
        <w:lang w:val="ro-RO"/>
      </w:rPr>
      <w:t xml:space="preserve"> sector 1</w:t>
    </w:r>
    <w:r w:rsidRPr="00A23E00">
      <w:rPr>
        <w:rFonts w:ascii="Wingdings" w:eastAsia="Times New Roman" w:hAnsi="Wingdings" w:cs="Times New Roman"/>
        <w:b/>
        <w:noProof/>
        <w:sz w:val="10"/>
        <w:szCs w:val="20"/>
        <w:lang w:val="ro-RO"/>
      </w:rPr>
      <w:t></w:t>
    </w:r>
    <w:r w:rsidRPr="00A23E00">
      <w:rPr>
        <w:rFonts w:ascii="Bookman Old Style" w:eastAsia="Times New Roman" w:hAnsi="Bookman Old Style" w:cs="Times New Roman"/>
        <w:b/>
        <w:noProof/>
        <w:szCs w:val="20"/>
        <w:lang w:val="ro-RO"/>
      </w:rPr>
      <w:t xml:space="preserve"> Bucureşti </w:t>
    </w:r>
    <w:r w:rsidRPr="00A23E00">
      <w:rPr>
        <w:rFonts w:ascii="Wingdings" w:eastAsia="Times New Roman" w:hAnsi="Wingdings" w:cs="Times New Roman"/>
        <w:b/>
        <w:noProof/>
        <w:sz w:val="10"/>
        <w:szCs w:val="20"/>
        <w:lang w:val="ro-RO"/>
      </w:rPr>
      <w:t></w:t>
    </w:r>
    <w:r w:rsidRPr="00A23E00">
      <w:rPr>
        <w:rFonts w:ascii="Bookman Old Style" w:eastAsia="Times New Roman" w:hAnsi="Bookman Old Style" w:cs="Times New Roman"/>
        <w:b/>
        <w:noProof/>
        <w:szCs w:val="20"/>
        <w:lang w:val="ro-RO"/>
      </w:rPr>
      <w:t xml:space="preserve"> România</w:t>
    </w:r>
  </w:p>
  <w:p w:rsidR="00A23E00" w:rsidRPr="00A23E00" w:rsidRDefault="00A23E00" w:rsidP="00A23E00">
    <w:pPr>
      <w:framePr w:w="7452" w:h="1805" w:hSpace="181" w:wrap="notBeside" w:vAnchor="page" w:hAnchor="page" w:x="3501" w:y="721" w:anchorLock="1"/>
      <w:spacing w:after="0" w:line="240" w:lineRule="auto"/>
      <w:jc w:val="center"/>
      <w:rPr>
        <w:rFonts w:ascii="Bookman Old Style" w:eastAsia="Times New Roman" w:hAnsi="Bookman Old Style" w:cs="Times New Roman"/>
        <w:b/>
        <w:noProof/>
        <w:szCs w:val="20"/>
        <w:lang w:val="ro-RO"/>
      </w:rPr>
    </w:pPr>
    <w:r w:rsidRPr="00A23E00">
      <w:rPr>
        <w:rFonts w:ascii="Bookman Old Style" w:eastAsia="Times New Roman" w:hAnsi="Bookman Old Style" w:cs="Times New Roman"/>
        <w:b/>
        <w:noProof/>
        <w:szCs w:val="20"/>
        <w:lang w:val="ro-RO"/>
      </w:rPr>
      <w:t xml:space="preserve">Tel. +40-21 317 45 60 </w:t>
    </w:r>
    <w:r w:rsidRPr="00A23E00">
      <w:rPr>
        <w:rFonts w:ascii="Wingdings" w:eastAsia="Times New Roman" w:hAnsi="Wingdings" w:cs="Times New Roman"/>
        <w:b/>
        <w:noProof/>
        <w:sz w:val="10"/>
        <w:szCs w:val="20"/>
        <w:lang w:val="ro-RO"/>
      </w:rPr>
      <w:t></w:t>
    </w:r>
    <w:r w:rsidRPr="00A23E00">
      <w:rPr>
        <w:rFonts w:ascii="Bookman Old Style" w:eastAsia="Times New Roman" w:hAnsi="Bookman Old Style" w:cs="Times New Roman"/>
        <w:b/>
        <w:noProof/>
        <w:szCs w:val="20"/>
        <w:lang w:val="ro-RO"/>
      </w:rPr>
      <w:t xml:space="preserve"> Fax +40-21 317 28 78</w:t>
    </w:r>
  </w:p>
  <w:p w:rsidR="00A23E00" w:rsidRPr="00A23E00" w:rsidRDefault="00A23E00" w:rsidP="00A23E00">
    <w:pPr>
      <w:framePr w:w="7452" w:h="1805" w:hSpace="181" w:wrap="notBeside" w:vAnchor="page" w:hAnchor="page" w:x="3501" w:y="721" w:anchorLock="1"/>
      <w:spacing w:after="0" w:line="240" w:lineRule="auto"/>
      <w:jc w:val="center"/>
      <w:rPr>
        <w:rFonts w:ascii="Bookman Old Style" w:eastAsia="Times New Roman" w:hAnsi="Bookman Old Style" w:cs="Times New Roman"/>
        <w:b/>
        <w:noProof/>
        <w:szCs w:val="20"/>
        <w:lang w:val="ro-RO"/>
      </w:rPr>
    </w:pPr>
    <w:r w:rsidRPr="00A23E00">
      <w:rPr>
        <w:rFonts w:ascii="Bookman Old Style" w:eastAsia="Times New Roman" w:hAnsi="Bookman Old Style" w:cs="Times New Roman"/>
        <w:b/>
        <w:noProof/>
        <w:color w:val="000000"/>
        <w:szCs w:val="20"/>
        <w:lang w:val="ro-RO"/>
      </w:rPr>
      <w:t xml:space="preserve">E-mail: </w:t>
    </w:r>
    <w:r w:rsidRPr="00A23E00">
      <w:rPr>
        <w:rFonts w:ascii="Bookman Old Style" w:eastAsia="Times New Roman" w:hAnsi="Bookman Old Style" w:cs="Times New Roman"/>
        <w:b/>
        <w:noProof/>
        <w:szCs w:val="20"/>
        <w:lang w:val="ro-RO"/>
      </w:rPr>
      <w:t>office@brm.ro</w:t>
    </w:r>
    <w:r w:rsidRPr="00A23E00">
      <w:rPr>
        <w:rFonts w:ascii="Bookman Old Style" w:eastAsia="Times New Roman" w:hAnsi="Bookman Old Style" w:cs="Times New Roman"/>
        <w:b/>
        <w:noProof/>
        <w:color w:val="000000"/>
        <w:szCs w:val="20"/>
        <w:lang w:val="ro-RO"/>
      </w:rPr>
      <w:t xml:space="preserve"> </w:t>
    </w:r>
    <w:r w:rsidRPr="00A23E00">
      <w:rPr>
        <w:rFonts w:ascii="Wingdings" w:eastAsia="Times New Roman" w:hAnsi="Wingdings" w:cs="Times New Roman"/>
        <w:b/>
        <w:noProof/>
        <w:sz w:val="10"/>
        <w:szCs w:val="20"/>
        <w:lang w:val="ro-RO"/>
      </w:rPr>
      <w:t></w:t>
    </w:r>
    <w:r w:rsidRPr="00A23E00">
      <w:rPr>
        <w:rFonts w:ascii="Bookman Old Style" w:eastAsia="Times New Roman" w:hAnsi="Bookman Old Style" w:cs="Times New Roman"/>
        <w:b/>
        <w:noProof/>
        <w:color w:val="000000"/>
        <w:szCs w:val="20"/>
        <w:lang w:val="ro-RO"/>
      </w:rPr>
      <w:t xml:space="preserve"> http://www.brm.ro</w:t>
    </w:r>
  </w:p>
  <w:p w:rsidR="00A23E00" w:rsidRPr="00A23E00" w:rsidRDefault="00A23E00" w:rsidP="00A23E0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val="en-AU"/>
      </w:rPr>
    </w:pPr>
    <w:r w:rsidRPr="00A23E00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65405</wp:posOffset>
          </wp:positionH>
          <wp:positionV relativeFrom="paragraph">
            <wp:posOffset>9525</wp:posOffset>
          </wp:positionV>
          <wp:extent cx="1076325" cy="1057275"/>
          <wp:effectExtent l="19050" t="0" r="9525" b="0"/>
          <wp:wrapSquare wrapText="bothSides"/>
          <wp:docPr id="4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3E00" w:rsidRDefault="00A23E00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12D"/>
    <w:multiLevelType w:val="hybridMultilevel"/>
    <w:tmpl w:val="DA466CDC"/>
    <w:lvl w:ilvl="0" w:tplc="9A949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72C24"/>
    <w:multiLevelType w:val="hybridMultilevel"/>
    <w:tmpl w:val="86063484"/>
    <w:lvl w:ilvl="0" w:tplc="1CA43F5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B3CE1"/>
    <w:multiLevelType w:val="hybridMultilevel"/>
    <w:tmpl w:val="74A8F53C"/>
    <w:lvl w:ilvl="0" w:tplc="2AE4C2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384D"/>
    <w:multiLevelType w:val="hybridMultilevel"/>
    <w:tmpl w:val="74A8F53C"/>
    <w:lvl w:ilvl="0" w:tplc="2AE4C2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3615"/>
    <w:rsid w:val="000052B2"/>
    <w:rsid w:val="000158A1"/>
    <w:rsid w:val="00102CD1"/>
    <w:rsid w:val="00115BB4"/>
    <w:rsid w:val="00122E8C"/>
    <w:rsid w:val="0013241E"/>
    <w:rsid w:val="00172CDA"/>
    <w:rsid w:val="002136FD"/>
    <w:rsid w:val="002522F2"/>
    <w:rsid w:val="00293CB6"/>
    <w:rsid w:val="002C1317"/>
    <w:rsid w:val="002C4957"/>
    <w:rsid w:val="002D74A8"/>
    <w:rsid w:val="002E16C4"/>
    <w:rsid w:val="002F6B27"/>
    <w:rsid w:val="00306B28"/>
    <w:rsid w:val="003217B7"/>
    <w:rsid w:val="00335650"/>
    <w:rsid w:val="003D6042"/>
    <w:rsid w:val="003D6B61"/>
    <w:rsid w:val="003F47B9"/>
    <w:rsid w:val="00406527"/>
    <w:rsid w:val="00463E32"/>
    <w:rsid w:val="00472DC4"/>
    <w:rsid w:val="004816F9"/>
    <w:rsid w:val="00513615"/>
    <w:rsid w:val="00522C96"/>
    <w:rsid w:val="00525A00"/>
    <w:rsid w:val="00527932"/>
    <w:rsid w:val="0058377C"/>
    <w:rsid w:val="005C0E3A"/>
    <w:rsid w:val="005F6E1D"/>
    <w:rsid w:val="0063210D"/>
    <w:rsid w:val="006A194F"/>
    <w:rsid w:val="006C4C9E"/>
    <w:rsid w:val="0077383E"/>
    <w:rsid w:val="00783053"/>
    <w:rsid w:val="007B144F"/>
    <w:rsid w:val="007E4D94"/>
    <w:rsid w:val="00873D54"/>
    <w:rsid w:val="008A56F4"/>
    <w:rsid w:val="008B481B"/>
    <w:rsid w:val="00901615"/>
    <w:rsid w:val="009045CC"/>
    <w:rsid w:val="00914CDB"/>
    <w:rsid w:val="00952AA0"/>
    <w:rsid w:val="00961D2A"/>
    <w:rsid w:val="00971F78"/>
    <w:rsid w:val="009976F5"/>
    <w:rsid w:val="009E3CA1"/>
    <w:rsid w:val="00A23E00"/>
    <w:rsid w:val="00A61F0E"/>
    <w:rsid w:val="00A76D4A"/>
    <w:rsid w:val="00A85ABE"/>
    <w:rsid w:val="00AA127E"/>
    <w:rsid w:val="00AB0BDD"/>
    <w:rsid w:val="00AF0756"/>
    <w:rsid w:val="00B11918"/>
    <w:rsid w:val="00B25412"/>
    <w:rsid w:val="00B838B2"/>
    <w:rsid w:val="00B97BE8"/>
    <w:rsid w:val="00BC49B6"/>
    <w:rsid w:val="00BD074A"/>
    <w:rsid w:val="00C760FF"/>
    <w:rsid w:val="00C97483"/>
    <w:rsid w:val="00CE1472"/>
    <w:rsid w:val="00D45330"/>
    <w:rsid w:val="00D60D29"/>
    <w:rsid w:val="00D84552"/>
    <w:rsid w:val="00D86374"/>
    <w:rsid w:val="00DF78EE"/>
    <w:rsid w:val="00E00B5A"/>
    <w:rsid w:val="00E2640A"/>
    <w:rsid w:val="00E61C56"/>
    <w:rsid w:val="00E907A7"/>
    <w:rsid w:val="00E91873"/>
    <w:rsid w:val="00EB5272"/>
    <w:rsid w:val="00F4664C"/>
    <w:rsid w:val="00F7784C"/>
    <w:rsid w:val="00F80150"/>
    <w:rsid w:val="00F8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1361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A2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23E00"/>
  </w:style>
  <w:style w:type="paragraph" w:styleId="Subsol">
    <w:name w:val="footer"/>
    <w:basedOn w:val="Normal"/>
    <w:link w:val="SubsolCaracter"/>
    <w:uiPriority w:val="99"/>
    <w:unhideWhenUsed/>
    <w:rsid w:val="00A2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23E00"/>
  </w:style>
  <w:style w:type="character" w:styleId="Robust">
    <w:name w:val="Strong"/>
    <w:basedOn w:val="Fontdeparagrafimplicit"/>
    <w:uiPriority w:val="22"/>
    <w:qFormat/>
    <w:rsid w:val="00A23E00"/>
    <w:rPr>
      <w:b/>
      <w:bCs/>
    </w:rPr>
  </w:style>
  <w:style w:type="paragraph" w:styleId="Listparagraf">
    <w:name w:val="List Paragraph"/>
    <w:basedOn w:val="Normal"/>
    <w:uiPriority w:val="34"/>
    <w:qFormat/>
    <w:rsid w:val="00122E8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3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5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aheadgas.brm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sforward.brm.r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chilibrare.brm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mgn.r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5</cp:revision>
  <cp:lastPrinted>2019-02-26T11:07:00Z</cp:lastPrinted>
  <dcterms:created xsi:type="dcterms:W3CDTF">2019-05-09T11:04:00Z</dcterms:created>
  <dcterms:modified xsi:type="dcterms:W3CDTF">2019-05-09T14:13:00Z</dcterms:modified>
</cp:coreProperties>
</file>